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harts/chart7.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BB" w:rsidRDefault="006E153E" w:rsidP="006E153E">
      <w:pPr>
        <w:pStyle w:val="Tittel"/>
      </w:pPr>
      <w:bookmarkStart w:id="0" w:name="_GoBack"/>
      <w:bookmarkEnd w:id="0"/>
      <w:r>
        <w:t>Notat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53"/>
      </w:tblGrid>
      <w:tr w:rsidR="006E153E" w:rsidTr="006E153E">
        <w:tc>
          <w:tcPr>
            <w:tcW w:w="959" w:type="dxa"/>
          </w:tcPr>
          <w:p w:rsidR="006E153E" w:rsidRDefault="006E153E" w:rsidP="006E153E">
            <w:r>
              <w:t>Emne:</w:t>
            </w:r>
          </w:p>
        </w:tc>
        <w:tc>
          <w:tcPr>
            <w:tcW w:w="8253" w:type="dxa"/>
          </w:tcPr>
          <w:p w:rsidR="006E153E" w:rsidRDefault="006E153E" w:rsidP="006E153E">
            <w:r>
              <w:t>Bakgrunnsinformasjon til KVU: Publiseringssamarbeid på tvers i NTNU</w:t>
            </w:r>
          </w:p>
        </w:tc>
      </w:tr>
      <w:tr w:rsidR="006E153E" w:rsidTr="006E153E">
        <w:tc>
          <w:tcPr>
            <w:tcW w:w="959" w:type="dxa"/>
          </w:tcPr>
          <w:p w:rsidR="006E153E" w:rsidRDefault="006E153E" w:rsidP="006E153E">
            <w:r>
              <w:t>Fra:</w:t>
            </w:r>
          </w:p>
        </w:tc>
        <w:tc>
          <w:tcPr>
            <w:tcW w:w="8253" w:type="dxa"/>
          </w:tcPr>
          <w:p w:rsidR="006E153E" w:rsidRDefault="006E153E" w:rsidP="006E153E">
            <w:r>
              <w:t>TBA</w:t>
            </w:r>
          </w:p>
        </w:tc>
      </w:tr>
      <w:tr w:rsidR="006E153E" w:rsidTr="006E153E">
        <w:tc>
          <w:tcPr>
            <w:tcW w:w="959" w:type="dxa"/>
          </w:tcPr>
          <w:p w:rsidR="006E153E" w:rsidRDefault="006E153E" w:rsidP="006E153E">
            <w:r>
              <w:t>Dato:</w:t>
            </w:r>
          </w:p>
        </w:tc>
        <w:tc>
          <w:tcPr>
            <w:tcW w:w="8253" w:type="dxa"/>
          </w:tcPr>
          <w:p w:rsidR="006E153E" w:rsidRDefault="006E153E" w:rsidP="006E153E">
            <w:proofErr w:type="gramStart"/>
            <w:r>
              <w:t>01.08.2013</w:t>
            </w:r>
            <w:proofErr w:type="gramEnd"/>
          </w:p>
        </w:tc>
      </w:tr>
    </w:tbl>
    <w:p w:rsidR="006E153E" w:rsidRDefault="006E153E" w:rsidP="006E153E"/>
    <w:p w:rsidR="003A535A" w:rsidRDefault="006E153E" w:rsidP="006E153E">
      <w:r>
        <w:t xml:space="preserve">Rambøll har etterspurt data om samarbeid på tvers i NTNU. </w:t>
      </w:r>
      <w:proofErr w:type="spellStart"/>
      <w:r>
        <w:t>Publiseringsdata</w:t>
      </w:r>
      <w:proofErr w:type="spellEnd"/>
      <w:r>
        <w:t xml:space="preserve"> </w:t>
      </w:r>
      <w:r w:rsidR="003A535A">
        <w:t>kan gi</w:t>
      </w:r>
      <w:r>
        <w:t xml:space="preserve"> </w:t>
      </w:r>
      <w:r w:rsidR="003A535A">
        <w:t>en</w:t>
      </w:r>
      <w:r>
        <w:t xml:space="preserve"> indika</w:t>
      </w:r>
      <w:r w:rsidR="003A535A">
        <w:t>sjon</w:t>
      </w:r>
      <w:r>
        <w:t xml:space="preserve"> på </w:t>
      </w:r>
      <w:r w:rsidR="003A535A">
        <w:t xml:space="preserve">omfanget av og profilen i </w:t>
      </w:r>
      <w:r w:rsidR="00A818ED">
        <w:t xml:space="preserve">tverrfaglig </w:t>
      </w:r>
      <w:r>
        <w:t>forskningssamarbeid.</w:t>
      </w:r>
      <w:r w:rsidR="003A535A">
        <w:t xml:space="preserve"> Universitetsbiblioteket har hentet ut DBH-data knyttet til vitenskapelige publikasjoner rapportert i DBH for perioden 2010–12, og registrert samarbeidskonstellasjoner på grunnlag av disse. Det er altså snakk om sampublisering der forfatterne representerer minst to ulike fakulteter (inkl. Vitenskapsmuseet).  Det også publiseringssamarbeid som omfatter forfattere ved andre enheter innen NTNU, både sentre og administrative enheter. Disse har vi for enkelthets skyld holdt utenfor.</w:t>
      </w:r>
    </w:p>
    <w:p w:rsidR="006E153E" w:rsidRDefault="003A535A" w:rsidP="006E153E">
      <w:r>
        <w:t>I treårsperioden er det registrert ca. 1100 slike fellespublikasjoner. Tabellen nedenfor summerer tallene fordelt på de sju fakultetene og Vitenskapsmuseet.</w:t>
      </w:r>
    </w:p>
    <w:p w:rsidR="0052113C" w:rsidRPr="0052113C" w:rsidRDefault="0052113C" w:rsidP="006E153E">
      <w:pPr>
        <w:rPr>
          <w:b/>
        </w:rPr>
      </w:pPr>
      <w:r>
        <w:rPr>
          <w:b/>
        </w:rPr>
        <w:t>Tabell 1: Sampublisering på tvers av fakultetsgrenser 2010–12</w:t>
      </w:r>
    </w:p>
    <w:tbl>
      <w:tblPr>
        <w:tblW w:w="6420" w:type="dxa"/>
        <w:tblInd w:w="55" w:type="dxa"/>
        <w:tblCellMar>
          <w:left w:w="70" w:type="dxa"/>
          <w:right w:w="70" w:type="dxa"/>
        </w:tblCellMar>
        <w:tblLook w:val="04A0" w:firstRow="1" w:lastRow="0" w:firstColumn="1" w:lastColumn="0" w:noHBand="0" w:noVBand="1"/>
      </w:tblPr>
      <w:tblGrid>
        <w:gridCol w:w="820"/>
        <w:gridCol w:w="700"/>
        <w:gridCol w:w="700"/>
        <w:gridCol w:w="700"/>
        <w:gridCol w:w="700"/>
        <w:gridCol w:w="700"/>
        <w:gridCol w:w="700"/>
        <w:gridCol w:w="700"/>
        <w:gridCol w:w="700"/>
      </w:tblGrid>
      <w:tr w:rsidR="003A535A" w:rsidRPr="003A535A" w:rsidTr="003A535A">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rPr>
                <w:rFonts w:ascii="Calibri" w:eastAsia="Times New Roman" w:hAnsi="Calibri" w:cs="Calibri"/>
                <w:color w:val="000000"/>
                <w:lang w:eastAsia="nb-NO"/>
              </w:rPr>
            </w:pPr>
            <w:r w:rsidRPr="003A535A">
              <w:rPr>
                <w:rFonts w:ascii="Calibri" w:eastAsia="Times New Roman" w:hAnsi="Calibri" w:cs="Calibri"/>
                <w:color w:val="000000"/>
                <w:lang w:eastAsia="nb-NO"/>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center"/>
              <w:rPr>
                <w:rFonts w:ascii="Calibri" w:eastAsia="Times New Roman" w:hAnsi="Calibri" w:cs="Calibri"/>
                <w:b/>
                <w:bCs/>
                <w:color w:val="000000"/>
                <w:lang w:eastAsia="nb-NO"/>
              </w:rPr>
            </w:pPr>
            <w:r w:rsidRPr="003A535A">
              <w:rPr>
                <w:rFonts w:ascii="Calibri" w:eastAsia="Times New Roman" w:hAnsi="Calibri" w:cs="Calibri"/>
                <w:b/>
                <w:bCs/>
                <w:color w:val="000000"/>
                <w:lang w:eastAsia="nb-NO"/>
              </w:rPr>
              <w:t>VM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center"/>
              <w:rPr>
                <w:rFonts w:ascii="Calibri" w:eastAsia="Times New Roman" w:hAnsi="Calibri" w:cs="Calibri"/>
                <w:b/>
                <w:bCs/>
                <w:color w:val="000000"/>
                <w:lang w:eastAsia="nb-NO"/>
              </w:rPr>
            </w:pPr>
            <w:r w:rsidRPr="003A535A">
              <w:rPr>
                <w:rFonts w:ascii="Calibri" w:eastAsia="Times New Roman" w:hAnsi="Calibri" w:cs="Calibri"/>
                <w:b/>
                <w:bCs/>
                <w:color w:val="000000"/>
                <w:lang w:eastAsia="nb-NO"/>
              </w:rPr>
              <w:t>AB</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center"/>
              <w:rPr>
                <w:rFonts w:ascii="Calibri" w:eastAsia="Times New Roman" w:hAnsi="Calibri" w:cs="Calibri"/>
                <w:b/>
                <w:bCs/>
                <w:color w:val="000000"/>
                <w:lang w:eastAsia="nb-NO"/>
              </w:rPr>
            </w:pPr>
            <w:r w:rsidRPr="003A535A">
              <w:rPr>
                <w:rFonts w:ascii="Calibri" w:eastAsia="Times New Roman" w:hAnsi="Calibri" w:cs="Calibri"/>
                <w:b/>
                <w:bCs/>
                <w:color w:val="000000"/>
                <w:lang w:eastAsia="nb-NO"/>
              </w:rPr>
              <w:t>HF</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center"/>
              <w:rPr>
                <w:rFonts w:ascii="Calibri" w:eastAsia="Times New Roman" w:hAnsi="Calibri" w:cs="Calibri"/>
                <w:b/>
                <w:bCs/>
                <w:color w:val="000000"/>
                <w:lang w:eastAsia="nb-NO"/>
              </w:rPr>
            </w:pPr>
            <w:r w:rsidRPr="003A535A">
              <w:rPr>
                <w:rFonts w:ascii="Calibri" w:eastAsia="Times New Roman" w:hAnsi="Calibri" w:cs="Calibri"/>
                <w:b/>
                <w:bCs/>
                <w:color w:val="000000"/>
                <w:lang w:eastAsia="nb-NO"/>
              </w:rPr>
              <w:t>IME</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center"/>
              <w:rPr>
                <w:rFonts w:ascii="Calibri" w:eastAsia="Times New Roman" w:hAnsi="Calibri" w:cs="Calibri"/>
                <w:b/>
                <w:bCs/>
                <w:color w:val="000000"/>
                <w:lang w:eastAsia="nb-NO"/>
              </w:rPr>
            </w:pPr>
            <w:r w:rsidRPr="003A535A">
              <w:rPr>
                <w:rFonts w:ascii="Calibri" w:eastAsia="Times New Roman" w:hAnsi="Calibri" w:cs="Calibri"/>
                <w:b/>
                <w:bCs/>
                <w:color w:val="000000"/>
                <w:lang w:eastAsia="nb-NO"/>
              </w:rPr>
              <w:t>IVT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center"/>
              <w:rPr>
                <w:rFonts w:ascii="Calibri" w:eastAsia="Times New Roman" w:hAnsi="Calibri" w:cs="Calibri"/>
                <w:b/>
                <w:bCs/>
                <w:color w:val="000000"/>
                <w:lang w:eastAsia="nb-NO"/>
              </w:rPr>
            </w:pPr>
            <w:r w:rsidRPr="003A535A">
              <w:rPr>
                <w:rFonts w:ascii="Calibri" w:eastAsia="Times New Roman" w:hAnsi="Calibri" w:cs="Calibri"/>
                <w:b/>
                <w:bCs/>
                <w:color w:val="000000"/>
                <w:lang w:eastAsia="nb-NO"/>
              </w:rPr>
              <w:t>DMF</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center"/>
              <w:rPr>
                <w:rFonts w:ascii="Calibri" w:eastAsia="Times New Roman" w:hAnsi="Calibri" w:cs="Calibri"/>
                <w:b/>
                <w:bCs/>
                <w:color w:val="000000"/>
                <w:lang w:eastAsia="nb-NO"/>
              </w:rPr>
            </w:pPr>
            <w:r w:rsidRPr="003A535A">
              <w:rPr>
                <w:rFonts w:ascii="Calibri" w:eastAsia="Times New Roman" w:hAnsi="Calibri" w:cs="Calibri"/>
                <w:b/>
                <w:bCs/>
                <w:color w:val="000000"/>
                <w:lang w:eastAsia="nb-NO"/>
              </w:rPr>
              <w:t>NT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center"/>
              <w:rPr>
                <w:rFonts w:ascii="Calibri" w:eastAsia="Times New Roman" w:hAnsi="Calibri" w:cs="Calibri"/>
                <w:b/>
                <w:bCs/>
                <w:color w:val="000000"/>
                <w:lang w:eastAsia="nb-NO"/>
              </w:rPr>
            </w:pPr>
            <w:r w:rsidRPr="003A535A">
              <w:rPr>
                <w:rFonts w:ascii="Calibri" w:eastAsia="Times New Roman" w:hAnsi="Calibri" w:cs="Calibri"/>
                <w:b/>
                <w:bCs/>
                <w:color w:val="000000"/>
                <w:lang w:eastAsia="nb-NO"/>
              </w:rPr>
              <w:t>SVT</w:t>
            </w:r>
          </w:p>
        </w:tc>
      </w:tr>
      <w:tr w:rsidR="003A535A" w:rsidRPr="003A535A" w:rsidTr="003A535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rPr>
                <w:rFonts w:ascii="Arial" w:eastAsia="Times New Roman" w:hAnsi="Arial" w:cs="Arial"/>
                <w:b/>
                <w:bCs/>
                <w:sz w:val="20"/>
                <w:szCs w:val="20"/>
                <w:lang w:eastAsia="nb-NO"/>
              </w:rPr>
            </w:pPr>
            <w:r w:rsidRPr="003A535A">
              <w:rPr>
                <w:rFonts w:ascii="Arial" w:eastAsia="Times New Roman" w:hAnsi="Arial" w:cs="Arial"/>
                <w:b/>
                <w:bCs/>
                <w:sz w:val="20"/>
                <w:szCs w:val="20"/>
                <w:lang w:eastAsia="nb-NO"/>
              </w:rPr>
              <w:t>VM</w:t>
            </w:r>
          </w:p>
        </w:tc>
        <w:tc>
          <w:tcPr>
            <w:tcW w:w="700" w:type="dxa"/>
            <w:tcBorders>
              <w:top w:val="nil"/>
              <w:left w:val="nil"/>
              <w:bottom w:val="single" w:sz="4" w:space="0" w:color="auto"/>
              <w:right w:val="single" w:sz="4" w:space="0" w:color="auto"/>
            </w:tcBorders>
            <w:shd w:val="clear" w:color="000000" w:fill="8DB4E2"/>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0</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1</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3</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1</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1</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0</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13</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1</w:t>
            </w:r>
          </w:p>
        </w:tc>
      </w:tr>
      <w:tr w:rsidR="003A535A" w:rsidRPr="003A535A" w:rsidTr="003A535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rPr>
                <w:rFonts w:ascii="Arial" w:eastAsia="Times New Roman" w:hAnsi="Arial" w:cs="Arial"/>
                <w:b/>
                <w:bCs/>
                <w:sz w:val="20"/>
                <w:szCs w:val="20"/>
                <w:lang w:eastAsia="nb-NO"/>
              </w:rPr>
            </w:pPr>
            <w:r w:rsidRPr="003A535A">
              <w:rPr>
                <w:rFonts w:ascii="Arial" w:eastAsia="Times New Roman" w:hAnsi="Arial" w:cs="Arial"/>
                <w:b/>
                <w:bCs/>
                <w:sz w:val="20"/>
                <w:szCs w:val="20"/>
                <w:lang w:eastAsia="nb-NO"/>
              </w:rPr>
              <w:t>AB</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2</w:t>
            </w:r>
          </w:p>
        </w:tc>
        <w:tc>
          <w:tcPr>
            <w:tcW w:w="700" w:type="dxa"/>
            <w:tcBorders>
              <w:top w:val="nil"/>
              <w:left w:val="nil"/>
              <w:bottom w:val="single" w:sz="4" w:space="0" w:color="auto"/>
              <w:right w:val="single" w:sz="4" w:space="0" w:color="auto"/>
            </w:tcBorders>
            <w:shd w:val="clear" w:color="000000" w:fill="8DB4E2"/>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0</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3</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0</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35</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0</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2</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2</w:t>
            </w:r>
          </w:p>
        </w:tc>
      </w:tr>
      <w:tr w:rsidR="003A535A" w:rsidRPr="003A535A" w:rsidTr="003A535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rPr>
                <w:rFonts w:ascii="Arial" w:eastAsia="Times New Roman" w:hAnsi="Arial" w:cs="Arial"/>
                <w:b/>
                <w:bCs/>
                <w:sz w:val="20"/>
                <w:szCs w:val="20"/>
                <w:lang w:eastAsia="nb-NO"/>
              </w:rPr>
            </w:pPr>
            <w:r w:rsidRPr="003A535A">
              <w:rPr>
                <w:rFonts w:ascii="Arial" w:eastAsia="Times New Roman" w:hAnsi="Arial" w:cs="Arial"/>
                <w:b/>
                <w:bCs/>
                <w:sz w:val="20"/>
                <w:szCs w:val="20"/>
                <w:lang w:eastAsia="nb-NO"/>
              </w:rPr>
              <w:t>HF</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2</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3</w:t>
            </w:r>
          </w:p>
        </w:tc>
        <w:tc>
          <w:tcPr>
            <w:tcW w:w="700" w:type="dxa"/>
            <w:tcBorders>
              <w:top w:val="nil"/>
              <w:left w:val="nil"/>
              <w:bottom w:val="single" w:sz="4" w:space="0" w:color="auto"/>
              <w:right w:val="single" w:sz="4" w:space="0" w:color="auto"/>
            </w:tcBorders>
            <w:shd w:val="clear" w:color="000000" w:fill="8DB4E2"/>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0</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2</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1</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6</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1</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6</w:t>
            </w:r>
          </w:p>
        </w:tc>
      </w:tr>
      <w:tr w:rsidR="003A535A" w:rsidRPr="003A535A" w:rsidTr="003A535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rPr>
                <w:rFonts w:ascii="Arial" w:eastAsia="Times New Roman" w:hAnsi="Arial" w:cs="Arial"/>
                <w:b/>
                <w:bCs/>
                <w:sz w:val="20"/>
                <w:szCs w:val="20"/>
                <w:lang w:eastAsia="nb-NO"/>
              </w:rPr>
            </w:pPr>
            <w:r w:rsidRPr="003A535A">
              <w:rPr>
                <w:rFonts w:ascii="Arial" w:eastAsia="Times New Roman" w:hAnsi="Arial" w:cs="Arial"/>
                <w:b/>
                <w:bCs/>
                <w:sz w:val="20"/>
                <w:szCs w:val="20"/>
                <w:lang w:eastAsia="nb-NO"/>
              </w:rPr>
              <w:t>IME</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1</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0</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2</w:t>
            </w:r>
          </w:p>
        </w:tc>
        <w:tc>
          <w:tcPr>
            <w:tcW w:w="700" w:type="dxa"/>
            <w:tcBorders>
              <w:top w:val="nil"/>
              <w:left w:val="nil"/>
              <w:bottom w:val="single" w:sz="4" w:space="0" w:color="auto"/>
              <w:right w:val="single" w:sz="4" w:space="0" w:color="auto"/>
            </w:tcBorders>
            <w:shd w:val="clear" w:color="000000" w:fill="8DB4E2"/>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0</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90</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52</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64</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18</w:t>
            </w:r>
          </w:p>
        </w:tc>
      </w:tr>
      <w:tr w:rsidR="003A535A" w:rsidRPr="003A535A" w:rsidTr="003A535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rPr>
                <w:rFonts w:ascii="Arial" w:eastAsia="Times New Roman" w:hAnsi="Arial" w:cs="Arial"/>
                <w:b/>
                <w:bCs/>
                <w:sz w:val="20"/>
                <w:szCs w:val="20"/>
                <w:lang w:eastAsia="nb-NO"/>
              </w:rPr>
            </w:pPr>
            <w:r w:rsidRPr="003A535A">
              <w:rPr>
                <w:rFonts w:ascii="Arial" w:eastAsia="Times New Roman" w:hAnsi="Arial" w:cs="Arial"/>
                <w:b/>
                <w:bCs/>
                <w:sz w:val="20"/>
                <w:szCs w:val="20"/>
                <w:lang w:eastAsia="nb-NO"/>
              </w:rPr>
              <w:t>IVT</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1</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35</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1</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90</w:t>
            </w:r>
          </w:p>
        </w:tc>
        <w:tc>
          <w:tcPr>
            <w:tcW w:w="700" w:type="dxa"/>
            <w:tcBorders>
              <w:top w:val="nil"/>
              <w:left w:val="nil"/>
              <w:bottom w:val="single" w:sz="4" w:space="0" w:color="auto"/>
              <w:right w:val="single" w:sz="4" w:space="0" w:color="auto"/>
            </w:tcBorders>
            <w:shd w:val="clear" w:color="000000" w:fill="8DB4E2"/>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0</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7</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72</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26</w:t>
            </w:r>
          </w:p>
        </w:tc>
      </w:tr>
      <w:tr w:rsidR="003A535A" w:rsidRPr="003A535A" w:rsidTr="003A535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rPr>
                <w:rFonts w:ascii="Arial" w:eastAsia="Times New Roman" w:hAnsi="Arial" w:cs="Arial"/>
                <w:b/>
                <w:bCs/>
                <w:sz w:val="20"/>
                <w:szCs w:val="20"/>
                <w:lang w:eastAsia="nb-NO"/>
              </w:rPr>
            </w:pPr>
            <w:r w:rsidRPr="003A535A">
              <w:rPr>
                <w:rFonts w:ascii="Arial" w:eastAsia="Times New Roman" w:hAnsi="Arial" w:cs="Arial"/>
                <w:b/>
                <w:bCs/>
                <w:sz w:val="20"/>
                <w:szCs w:val="20"/>
                <w:lang w:eastAsia="nb-NO"/>
              </w:rPr>
              <w:t>DMF</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0</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0</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6</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52</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7</w:t>
            </w:r>
          </w:p>
        </w:tc>
        <w:tc>
          <w:tcPr>
            <w:tcW w:w="700" w:type="dxa"/>
            <w:tcBorders>
              <w:top w:val="nil"/>
              <w:left w:val="nil"/>
              <w:bottom w:val="single" w:sz="4" w:space="0" w:color="auto"/>
              <w:right w:val="single" w:sz="4" w:space="0" w:color="auto"/>
            </w:tcBorders>
            <w:shd w:val="clear" w:color="000000" w:fill="8DB4E2"/>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0</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28</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106</w:t>
            </w:r>
          </w:p>
        </w:tc>
      </w:tr>
      <w:tr w:rsidR="003A535A" w:rsidRPr="003A535A" w:rsidTr="003A535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rPr>
                <w:rFonts w:ascii="Arial" w:eastAsia="Times New Roman" w:hAnsi="Arial" w:cs="Arial"/>
                <w:b/>
                <w:bCs/>
                <w:sz w:val="20"/>
                <w:szCs w:val="20"/>
                <w:lang w:eastAsia="nb-NO"/>
              </w:rPr>
            </w:pPr>
            <w:r w:rsidRPr="003A535A">
              <w:rPr>
                <w:rFonts w:ascii="Arial" w:eastAsia="Times New Roman" w:hAnsi="Arial" w:cs="Arial"/>
                <w:b/>
                <w:bCs/>
                <w:sz w:val="20"/>
                <w:szCs w:val="20"/>
                <w:lang w:eastAsia="nb-NO"/>
              </w:rPr>
              <w:t>NT</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13</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1</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2</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64</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72</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28</w:t>
            </w:r>
          </w:p>
        </w:tc>
        <w:tc>
          <w:tcPr>
            <w:tcW w:w="700" w:type="dxa"/>
            <w:tcBorders>
              <w:top w:val="nil"/>
              <w:left w:val="nil"/>
              <w:bottom w:val="single" w:sz="4" w:space="0" w:color="auto"/>
              <w:right w:val="single" w:sz="4" w:space="0" w:color="auto"/>
            </w:tcBorders>
            <w:shd w:val="clear" w:color="000000" w:fill="8DB4E2"/>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0</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3</w:t>
            </w:r>
          </w:p>
        </w:tc>
      </w:tr>
      <w:tr w:rsidR="003A535A" w:rsidRPr="003A535A" w:rsidTr="003A535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rPr>
                <w:rFonts w:ascii="Arial" w:eastAsia="Times New Roman" w:hAnsi="Arial" w:cs="Arial"/>
                <w:b/>
                <w:bCs/>
                <w:sz w:val="20"/>
                <w:szCs w:val="20"/>
                <w:lang w:eastAsia="nb-NO"/>
              </w:rPr>
            </w:pPr>
            <w:r w:rsidRPr="003A535A">
              <w:rPr>
                <w:rFonts w:ascii="Arial" w:eastAsia="Times New Roman" w:hAnsi="Arial" w:cs="Arial"/>
                <w:b/>
                <w:bCs/>
                <w:sz w:val="20"/>
                <w:szCs w:val="20"/>
                <w:lang w:eastAsia="nb-NO"/>
              </w:rPr>
              <w:t>SVT</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1</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2</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6</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18</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26</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106</w:t>
            </w:r>
          </w:p>
        </w:tc>
        <w:tc>
          <w:tcPr>
            <w:tcW w:w="700" w:type="dxa"/>
            <w:tcBorders>
              <w:top w:val="nil"/>
              <w:left w:val="nil"/>
              <w:bottom w:val="single" w:sz="4" w:space="0" w:color="auto"/>
              <w:right w:val="single" w:sz="4" w:space="0" w:color="auto"/>
            </w:tcBorders>
            <w:shd w:val="clear" w:color="auto" w:fill="auto"/>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3</w:t>
            </w:r>
          </w:p>
        </w:tc>
        <w:tc>
          <w:tcPr>
            <w:tcW w:w="700" w:type="dxa"/>
            <w:tcBorders>
              <w:top w:val="nil"/>
              <w:left w:val="nil"/>
              <w:bottom w:val="single" w:sz="4" w:space="0" w:color="auto"/>
              <w:right w:val="single" w:sz="4" w:space="0" w:color="auto"/>
            </w:tcBorders>
            <w:shd w:val="clear" w:color="000000" w:fill="8DB4E2"/>
            <w:noWrap/>
            <w:vAlign w:val="bottom"/>
            <w:hideMark/>
          </w:tcPr>
          <w:p w:rsidR="003A535A" w:rsidRPr="003A535A" w:rsidRDefault="003A535A" w:rsidP="003A535A">
            <w:pPr>
              <w:spacing w:after="0" w:line="240" w:lineRule="auto"/>
              <w:jc w:val="right"/>
              <w:rPr>
                <w:rFonts w:ascii="Calibri" w:eastAsia="Times New Roman" w:hAnsi="Calibri" w:cs="Calibri"/>
                <w:color w:val="000000"/>
                <w:lang w:eastAsia="nb-NO"/>
              </w:rPr>
            </w:pPr>
            <w:r w:rsidRPr="003A535A">
              <w:rPr>
                <w:rFonts w:ascii="Calibri" w:eastAsia="Times New Roman" w:hAnsi="Calibri" w:cs="Calibri"/>
                <w:color w:val="000000"/>
                <w:lang w:eastAsia="nb-NO"/>
              </w:rPr>
              <w:t>0</w:t>
            </w:r>
          </w:p>
        </w:tc>
      </w:tr>
    </w:tbl>
    <w:p w:rsidR="003A535A" w:rsidRDefault="003A535A" w:rsidP="006E153E"/>
    <w:p w:rsidR="0052113C" w:rsidRDefault="0052113C" w:rsidP="006E153E">
      <w:r>
        <w:t>Med utgangspunkt i disse tallene har vi laget samarbeidsprofiler for de enkelte fakultetene og VM, se figurene nedenfor.  Det er få eller ingen overraskelser med hensyn til samarbeidsmønstre; teknologifakultetene samarbeider mest seg imellom, DMF og SVT har et utbredt samarbeid, AB har sin viktigste relasjon med IVT. Selv om tallene er små for noen fakulteters vedkommende, tror vi profilene er representative.</w:t>
      </w:r>
    </w:p>
    <w:p w:rsidR="00046FD3" w:rsidRDefault="00046FD3" w:rsidP="006E153E">
      <w:r>
        <w:t xml:space="preserve">Vi gjør oppmerksom på at mange av disse publikasjonene også har medforfattere utenfor NTNU. Samlet sett er publiseringssamarbeid med forskere utenfor egen institusjon langt mer utbredt. Nasjonalt og internasjonalt </w:t>
      </w:r>
      <w:proofErr w:type="spellStart"/>
      <w:r>
        <w:t>samforfatterskap</w:t>
      </w:r>
      <w:proofErr w:type="spellEnd"/>
      <w:r>
        <w:t xml:space="preserve"> er naturligvis en ønsket og villet praksis, men NTNU ønsker også å stimulere til tverrfaglig samarbeid internt.</w:t>
      </w:r>
    </w:p>
    <w:tbl>
      <w:tblPr>
        <w:tblStyle w:val="Tabellrutenett"/>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430"/>
        <w:gridCol w:w="222"/>
        <w:gridCol w:w="4598"/>
      </w:tblGrid>
      <w:tr w:rsidR="0052113C" w:rsidTr="00EA3EB5">
        <w:tc>
          <w:tcPr>
            <w:tcW w:w="4430" w:type="dxa"/>
          </w:tcPr>
          <w:p w:rsidR="0052113C" w:rsidRDefault="0052113C" w:rsidP="00EA3EB5">
            <w:pPr>
              <w:jc w:val="both"/>
            </w:pPr>
            <w:r>
              <w:lastRenderedPageBreak/>
              <w:br w:type="page"/>
            </w:r>
            <w:r w:rsidR="00EA3EB5">
              <w:rPr>
                <w:noProof/>
                <w:lang w:eastAsia="nb-NO"/>
              </w:rPr>
              <w:drawing>
                <wp:inline distT="0" distB="0" distL="0" distR="0" wp14:anchorId="195C2CB3" wp14:editId="002B904B">
                  <wp:extent cx="2166026" cy="1887166"/>
                  <wp:effectExtent l="0" t="0" r="24765" b="1841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222" w:type="dxa"/>
          </w:tcPr>
          <w:p w:rsidR="0052113C" w:rsidRDefault="0052113C" w:rsidP="006E153E"/>
        </w:tc>
        <w:tc>
          <w:tcPr>
            <w:tcW w:w="4598" w:type="dxa"/>
          </w:tcPr>
          <w:p w:rsidR="0052113C" w:rsidRDefault="00EA3EB5" w:rsidP="00EA3EB5">
            <w:pPr>
              <w:jc w:val="right"/>
            </w:pPr>
            <w:r>
              <w:rPr>
                <w:noProof/>
                <w:lang w:eastAsia="nb-NO"/>
              </w:rPr>
              <w:drawing>
                <wp:inline distT="0" distB="0" distL="0" distR="0" wp14:anchorId="224B48BE" wp14:editId="3D325D0B">
                  <wp:extent cx="2049294" cy="1887166"/>
                  <wp:effectExtent l="0" t="0" r="27305" b="1841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52113C" w:rsidTr="00EA3EB5">
        <w:tblPrEx>
          <w:tblCellMar>
            <w:left w:w="108" w:type="dxa"/>
            <w:right w:w="108" w:type="dxa"/>
          </w:tblCellMar>
        </w:tblPrEx>
        <w:tc>
          <w:tcPr>
            <w:tcW w:w="4430" w:type="dxa"/>
          </w:tcPr>
          <w:p w:rsidR="0052113C" w:rsidRDefault="0052113C" w:rsidP="00EA3EB5">
            <w:pPr>
              <w:jc w:val="both"/>
            </w:pPr>
          </w:p>
        </w:tc>
        <w:tc>
          <w:tcPr>
            <w:tcW w:w="222" w:type="dxa"/>
          </w:tcPr>
          <w:p w:rsidR="0052113C" w:rsidRDefault="0052113C" w:rsidP="006E153E"/>
        </w:tc>
        <w:tc>
          <w:tcPr>
            <w:tcW w:w="4598" w:type="dxa"/>
          </w:tcPr>
          <w:p w:rsidR="0052113C" w:rsidRDefault="0052113C" w:rsidP="00EA3EB5">
            <w:pPr>
              <w:jc w:val="right"/>
            </w:pPr>
          </w:p>
        </w:tc>
      </w:tr>
      <w:tr w:rsidR="0052113C" w:rsidTr="00EA3EB5">
        <w:tc>
          <w:tcPr>
            <w:tcW w:w="4430" w:type="dxa"/>
          </w:tcPr>
          <w:p w:rsidR="0052113C" w:rsidRDefault="00EA3EB5" w:rsidP="00EA3EB5">
            <w:pPr>
              <w:jc w:val="both"/>
            </w:pPr>
            <w:r>
              <w:rPr>
                <w:noProof/>
                <w:lang w:eastAsia="nb-NO"/>
              </w:rPr>
              <w:drawing>
                <wp:inline distT="0" distB="0" distL="0" distR="0" wp14:anchorId="30EAFE8F" wp14:editId="42347151">
                  <wp:extent cx="2166026" cy="1874195"/>
                  <wp:effectExtent l="0" t="0" r="24765" b="1206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222" w:type="dxa"/>
          </w:tcPr>
          <w:p w:rsidR="0052113C" w:rsidRDefault="0052113C" w:rsidP="006E153E"/>
        </w:tc>
        <w:tc>
          <w:tcPr>
            <w:tcW w:w="4598" w:type="dxa"/>
          </w:tcPr>
          <w:p w:rsidR="0052113C" w:rsidRDefault="00EA3EB5" w:rsidP="00EA3EB5">
            <w:pPr>
              <w:jc w:val="right"/>
            </w:pPr>
            <w:r>
              <w:rPr>
                <w:noProof/>
                <w:lang w:eastAsia="nb-NO"/>
              </w:rPr>
              <w:drawing>
                <wp:inline distT="0" distB="0" distL="0" distR="0" wp14:anchorId="70EC0132" wp14:editId="28F6D406">
                  <wp:extent cx="2049294" cy="1874196"/>
                  <wp:effectExtent l="0" t="0" r="27305" b="1206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52113C" w:rsidTr="00EA3EB5">
        <w:tblPrEx>
          <w:tblCellMar>
            <w:left w:w="108" w:type="dxa"/>
            <w:right w:w="108" w:type="dxa"/>
          </w:tblCellMar>
        </w:tblPrEx>
        <w:tc>
          <w:tcPr>
            <w:tcW w:w="4430" w:type="dxa"/>
          </w:tcPr>
          <w:p w:rsidR="0052113C" w:rsidRDefault="0052113C" w:rsidP="00EA3EB5">
            <w:pPr>
              <w:jc w:val="both"/>
            </w:pPr>
          </w:p>
        </w:tc>
        <w:tc>
          <w:tcPr>
            <w:tcW w:w="222" w:type="dxa"/>
          </w:tcPr>
          <w:p w:rsidR="0052113C" w:rsidRDefault="0052113C" w:rsidP="006E153E"/>
        </w:tc>
        <w:tc>
          <w:tcPr>
            <w:tcW w:w="4598" w:type="dxa"/>
          </w:tcPr>
          <w:p w:rsidR="0052113C" w:rsidRDefault="0052113C" w:rsidP="00EA3EB5">
            <w:pPr>
              <w:jc w:val="right"/>
            </w:pPr>
          </w:p>
        </w:tc>
      </w:tr>
      <w:tr w:rsidR="00EA3EB5" w:rsidTr="00EA3EB5">
        <w:tc>
          <w:tcPr>
            <w:tcW w:w="4430" w:type="dxa"/>
          </w:tcPr>
          <w:p w:rsidR="00EA3EB5" w:rsidRDefault="00EA3EB5" w:rsidP="00EA3EB5">
            <w:pPr>
              <w:jc w:val="both"/>
            </w:pPr>
            <w:r>
              <w:rPr>
                <w:noProof/>
                <w:lang w:eastAsia="nb-NO"/>
              </w:rPr>
              <w:drawing>
                <wp:inline distT="0" distB="0" distL="0" distR="0" wp14:anchorId="00A9E0C9" wp14:editId="10213845">
                  <wp:extent cx="2166026" cy="1913106"/>
                  <wp:effectExtent l="0" t="0" r="24765" b="1143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22" w:type="dxa"/>
          </w:tcPr>
          <w:p w:rsidR="00EA3EB5" w:rsidRDefault="00EA3EB5" w:rsidP="006E153E"/>
        </w:tc>
        <w:tc>
          <w:tcPr>
            <w:tcW w:w="4598" w:type="dxa"/>
          </w:tcPr>
          <w:p w:rsidR="00EA3EB5" w:rsidRDefault="00EA3EB5" w:rsidP="00EA3EB5">
            <w:pPr>
              <w:jc w:val="right"/>
            </w:pPr>
            <w:r>
              <w:rPr>
                <w:noProof/>
                <w:lang w:eastAsia="nb-NO"/>
              </w:rPr>
              <w:drawing>
                <wp:inline distT="0" distB="0" distL="0" distR="0" wp14:anchorId="657859DA" wp14:editId="551BDAAC">
                  <wp:extent cx="2062264" cy="1913106"/>
                  <wp:effectExtent l="0" t="0" r="14605" b="1143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EA3EB5" w:rsidTr="00EA3EB5">
        <w:tc>
          <w:tcPr>
            <w:tcW w:w="4430" w:type="dxa"/>
          </w:tcPr>
          <w:p w:rsidR="00EA3EB5" w:rsidRDefault="00EA3EB5" w:rsidP="00EA3EB5">
            <w:pPr>
              <w:jc w:val="both"/>
              <w:rPr>
                <w:noProof/>
                <w:lang w:eastAsia="nb-NO"/>
              </w:rPr>
            </w:pPr>
          </w:p>
        </w:tc>
        <w:tc>
          <w:tcPr>
            <w:tcW w:w="222" w:type="dxa"/>
          </w:tcPr>
          <w:p w:rsidR="00EA3EB5" w:rsidRDefault="00EA3EB5" w:rsidP="006E153E"/>
        </w:tc>
        <w:tc>
          <w:tcPr>
            <w:tcW w:w="4598" w:type="dxa"/>
          </w:tcPr>
          <w:p w:rsidR="00EA3EB5" w:rsidRDefault="00EA3EB5" w:rsidP="00EA3EB5">
            <w:pPr>
              <w:jc w:val="right"/>
              <w:rPr>
                <w:noProof/>
                <w:lang w:eastAsia="nb-NO"/>
              </w:rPr>
            </w:pPr>
          </w:p>
        </w:tc>
      </w:tr>
      <w:tr w:rsidR="00EA3EB5" w:rsidTr="00EA3EB5">
        <w:tc>
          <w:tcPr>
            <w:tcW w:w="4430" w:type="dxa"/>
          </w:tcPr>
          <w:p w:rsidR="00EA3EB5" w:rsidRDefault="00EA3EB5" w:rsidP="00EA3EB5">
            <w:pPr>
              <w:jc w:val="both"/>
              <w:rPr>
                <w:noProof/>
                <w:lang w:eastAsia="nb-NO"/>
              </w:rPr>
            </w:pPr>
            <w:r>
              <w:rPr>
                <w:noProof/>
                <w:lang w:eastAsia="nb-NO"/>
              </w:rPr>
              <w:drawing>
                <wp:inline distT="0" distB="0" distL="0" distR="0" wp14:anchorId="2CBD584F" wp14:editId="76F19AC0">
                  <wp:extent cx="2166026" cy="2029838"/>
                  <wp:effectExtent l="0" t="0" r="24765" b="2794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22" w:type="dxa"/>
          </w:tcPr>
          <w:p w:rsidR="00EA3EB5" w:rsidRDefault="00EA3EB5" w:rsidP="006E153E"/>
        </w:tc>
        <w:tc>
          <w:tcPr>
            <w:tcW w:w="4598" w:type="dxa"/>
          </w:tcPr>
          <w:p w:rsidR="00EA3EB5" w:rsidRDefault="00EA3EB5" w:rsidP="00EA3EB5">
            <w:pPr>
              <w:jc w:val="right"/>
              <w:rPr>
                <w:noProof/>
                <w:lang w:eastAsia="nb-NO"/>
              </w:rPr>
            </w:pPr>
            <w:r>
              <w:rPr>
                <w:noProof/>
                <w:lang w:eastAsia="nb-NO"/>
              </w:rPr>
              <w:drawing>
                <wp:inline distT="0" distB="0" distL="0" distR="0" wp14:anchorId="2DCA9F9A" wp14:editId="5159A758">
                  <wp:extent cx="2062264" cy="2029838"/>
                  <wp:effectExtent l="0" t="0" r="14605" b="2794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52113C" w:rsidRPr="006E153E" w:rsidRDefault="0052113C" w:rsidP="006E153E"/>
    <w:sectPr w:rsidR="0052113C" w:rsidRPr="006E1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3E"/>
    <w:rsid w:val="00046FD3"/>
    <w:rsid w:val="00120EE2"/>
    <w:rsid w:val="002F4DBB"/>
    <w:rsid w:val="003A535A"/>
    <w:rsid w:val="0052113C"/>
    <w:rsid w:val="006E153E"/>
    <w:rsid w:val="009A4671"/>
    <w:rsid w:val="00A818ED"/>
    <w:rsid w:val="00D248AE"/>
    <w:rsid w:val="00EA3E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6E15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E153E"/>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6E1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52113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21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6E15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E153E"/>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6E1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52113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21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ustomXml" Target="../customXml/item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home.ansatt.ntnu.no\arlov\F-stab\Publisering\Publisering_tvers_201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ome.ansatt.ntnu.no\arlov\F-stab\Publisering\Publisering_tvers_2010-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ome.ansatt.ntnu.no\arlov\F-stab\Publisering\Publisering_tvers_2010-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ome.ansatt.ntnu.no\arlov\F-stab\Publisering\Publisering_tvers_2010-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ome.ansatt.ntnu.no\arlov\F-stab\Publisering\Publisering_tvers_2010-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ome.ansatt.ntnu.no\arlov\F-stab\Publisering\Publisering_tvers_2010-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ome.ansatt.ntnu.no\arlov\F-stab\Publisering\Publisering_tvers_2010-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ome.ansatt.ntnu.no\arlov\F-stab\Publisering\Publisering_tvers_201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radarChart>
        <c:radarStyle val="marker"/>
        <c:varyColors val="0"/>
        <c:ser>
          <c:idx val="0"/>
          <c:order val="0"/>
          <c:tx>
            <c:strRef>
              <c:f>FakSamarbeid!$A$4</c:f>
              <c:strCache>
                <c:ptCount val="1"/>
                <c:pt idx="0">
                  <c:v>VM</c:v>
                </c:pt>
              </c:strCache>
            </c:strRef>
          </c:tx>
          <c:marker>
            <c:symbol val="none"/>
          </c:marker>
          <c:cat>
            <c:strRef>
              <c:f>FakSamarbeid!$C$3:$I$3</c:f>
              <c:strCache>
                <c:ptCount val="7"/>
                <c:pt idx="0">
                  <c:v>AB</c:v>
                </c:pt>
                <c:pt idx="1">
                  <c:v>HF</c:v>
                </c:pt>
                <c:pt idx="2">
                  <c:v>IME</c:v>
                </c:pt>
                <c:pt idx="3">
                  <c:v>IVT</c:v>
                </c:pt>
                <c:pt idx="4">
                  <c:v>DMF</c:v>
                </c:pt>
                <c:pt idx="5">
                  <c:v>NT</c:v>
                </c:pt>
                <c:pt idx="6">
                  <c:v>SVT</c:v>
                </c:pt>
              </c:strCache>
            </c:strRef>
          </c:cat>
          <c:val>
            <c:numRef>
              <c:f>FakSamarbeid!$C$4:$I$4</c:f>
              <c:numCache>
                <c:formatCode>General</c:formatCode>
                <c:ptCount val="7"/>
                <c:pt idx="0">
                  <c:v>1</c:v>
                </c:pt>
                <c:pt idx="1">
                  <c:v>3</c:v>
                </c:pt>
                <c:pt idx="2">
                  <c:v>1</c:v>
                </c:pt>
                <c:pt idx="3">
                  <c:v>1</c:v>
                </c:pt>
                <c:pt idx="4">
                  <c:v>0</c:v>
                </c:pt>
                <c:pt idx="5">
                  <c:v>13</c:v>
                </c:pt>
                <c:pt idx="6">
                  <c:v>1</c:v>
                </c:pt>
              </c:numCache>
            </c:numRef>
          </c:val>
        </c:ser>
        <c:dLbls>
          <c:showLegendKey val="0"/>
          <c:showVal val="0"/>
          <c:showCatName val="0"/>
          <c:showSerName val="0"/>
          <c:showPercent val="0"/>
          <c:showBubbleSize val="0"/>
        </c:dLbls>
        <c:axId val="52771072"/>
        <c:axId val="85218432"/>
      </c:radarChart>
      <c:catAx>
        <c:axId val="52771072"/>
        <c:scaling>
          <c:orientation val="minMax"/>
        </c:scaling>
        <c:delete val="0"/>
        <c:axPos val="b"/>
        <c:majorGridlines/>
        <c:majorTickMark val="out"/>
        <c:minorTickMark val="none"/>
        <c:tickLblPos val="nextTo"/>
        <c:txPr>
          <a:bodyPr/>
          <a:lstStyle/>
          <a:p>
            <a:pPr>
              <a:defRPr sz="1200"/>
            </a:pPr>
            <a:endParaRPr lang="nb-NO"/>
          </a:p>
        </c:txPr>
        <c:crossAx val="85218432"/>
        <c:crosses val="autoZero"/>
        <c:auto val="1"/>
        <c:lblAlgn val="ctr"/>
        <c:lblOffset val="100"/>
        <c:noMultiLvlLbl val="0"/>
      </c:catAx>
      <c:valAx>
        <c:axId val="85218432"/>
        <c:scaling>
          <c:orientation val="minMax"/>
        </c:scaling>
        <c:delete val="0"/>
        <c:axPos val="l"/>
        <c:majorGridlines/>
        <c:numFmt formatCode="General" sourceLinked="1"/>
        <c:majorTickMark val="cross"/>
        <c:minorTickMark val="none"/>
        <c:tickLblPos val="nextTo"/>
        <c:txPr>
          <a:bodyPr/>
          <a:lstStyle/>
          <a:p>
            <a:pPr>
              <a:defRPr sz="900"/>
            </a:pPr>
            <a:endParaRPr lang="nb-NO"/>
          </a:p>
        </c:txPr>
        <c:crossAx val="527710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radarChart>
        <c:radarStyle val="marker"/>
        <c:varyColors val="0"/>
        <c:ser>
          <c:idx val="0"/>
          <c:order val="0"/>
          <c:tx>
            <c:v>AB</c:v>
          </c:tx>
          <c:marker>
            <c:symbol val="none"/>
          </c:marker>
          <c:cat>
            <c:strRef>
              <c:f>FakSamarbeid!$M$5:$S$5</c:f>
              <c:strCache>
                <c:ptCount val="7"/>
                <c:pt idx="0">
                  <c:v>VM</c:v>
                </c:pt>
                <c:pt idx="1">
                  <c:v>HF</c:v>
                </c:pt>
                <c:pt idx="2">
                  <c:v>IME</c:v>
                </c:pt>
                <c:pt idx="3">
                  <c:v>IVT</c:v>
                </c:pt>
                <c:pt idx="4">
                  <c:v>DMF</c:v>
                </c:pt>
                <c:pt idx="5">
                  <c:v>NT</c:v>
                </c:pt>
                <c:pt idx="6">
                  <c:v>SVT</c:v>
                </c:pt>
              </c:strCache>
            </c:strRef>
          </c:cat>
          <c:val>
            <c:numRef>
              <c:f>FakSamarbeid!$M$6:$S$6</c:f>
              <c:numCache>
                <c:formatCode>General</c:formatCode>
                <c:ptCount val="7"/>
                <c:pt idx="0">
                  <c:v>2</c:v>
                </c:pt>
                <c:pt idx="1">
                  <c:v>3</c:v>
                </c:pt>
                <c:pt idx="2">
                  <c:v>0</c:v>
                </c:pt>
                <c:pt idx="3">
                  <c:v>35</c:v>
                </c:pt>
                <c:pt idx="4">
                  <c:v>0</c:v>
                </c:pt>
                <c:pt idx="5">
                  <c:v>2</c:v>
                </c:pt>
                <c:pt idx="6">
                  <c:v>2</c:v>
                </c:pt>
              </c:numCache>
            </c:numRef>
          </c:val>
        </c:ser>
        <c:dLbls>
          <c:showLegendKey val="0"/>
          <c:showVal val="0"/>
          <c:showCatName val="0"/>
          <c:showSerName val="0"/>
          <c:showPercent val="0"/>
          <c:showBubbleSize val="0"/>
        </c:dLbls>
        <c:axId val="45789952"/>
        <c:axId val="45791488"/>
      </c:radarChart>
      <c:catAx>
        <c:axId val="45789952"/>
        <c:scaling>
          <c:orientation val="minMax"/>
        </c:scaling>
        <c:delete val="0"/>
        <c:axPos val="b"/>
        <c:majorGridlines/>
        <c:majorTickMark val="out"/>
        <c:minorTickMark val="none"/>
        <c:tickLblPos val="nextTo"/>
        <c:txPr>
          <a:bodyPr/>
          <a:lstStyle/>
          <a:p>
            <a:pPr>
              <a:defRPr sz="1200" baseline="0"/>
            </a:pPr>
            <a:endParaRPr lang="nb-NO"/>
          </a:p>
        </c:txPr>
        <c:crossAx val="45791488"/>
        <c:crosses val="autoZero"/>
        <c:auto val="1"/>
        <c:lblAlgn val="ctr"/>
        <c:lblOffset val="100"/>
        <c:noMultiLvlLbl val="0"/>
      </c:catAx>
      <c:valAx>
        <c:axId val="45791488"/>
        <c:scaling>
          <c:orientation val="minMax"/>
        </c:scaling>
        <c:delete val="0"/>
        <c:axPos val="l"/>
        <c:majorGridlines/>
        <c:numFmt formatCode="General" sourceLinked="1"/>
        <c:majorTickMark val="cross"/>
        <c:minorTickMark val="none"/>
        <c:tickLblPos val="nextTo"/>
        <c:txPr>
          <a:bodyPr/>
          <a:lstStyle/>
          <a:p>
            <a:pPr>
              <a:defRPr sz="900"/>
            </a:pPr>
            <a:endParaRPr lang="nb-NO"/>
          </a:p>
        </c:txPr>
        <c:crossAx val="45789952"/>
        <c:crosses val="autoZero"/>
        <c:crossBetween val="between"/>
        <c:majorUnit val="15"/>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radarChart>
        <c:radarStyle val="marker"/>
        <c:varyColors val="0"/>
        <c:ser>
          <c:idx val="0"/>
          <c:order val="0"/>
          <c:tx>
            <c:v>HF</c:v>
          </c:tx>
          <c:marker>
            <c:symbol val="none"/>
          </c:marker>
          <c:cat>
            <c:strRef>
              <c:f>FakSamarbeid!$M$8:$S$8</c:f>
              <c:strCache>
                <c:ptCount val="7"/>
                <c:pt idx="0">
                  <c:v>VM</c:v>
                </c:pt>
                <c:pt idx="1">
                  <c:v>AB</c:v>
                </c:pt>
                <c:pt idx="2">
                  <c:v>IME</c:v>
                </c:pt>
                <c:pt idx="3">
                  <c:v>IVT</c:v>
                </c:pt>
                <c:pt idx="4">
                  <c:v>DMF</c:v>
                </c:pt>
                <c:pt idx="5">
                  <c:v>NT</c:v>
                </c:pt>
                <c:pt idx="6">
                  <c:v>SVT</c:v>
                </c:pt>
              </c:strCache>
            </c:strRef>
          </c:cat>
          <c:val>
            <c:numRef>
              <c:f>FakSamarbeid!$M$9:$S$9</c:f>
              <c:numCache>
                <c:formatCode>General</c:formatCode>
                <c:ptCount val="7"/>
                <c:pt idx="0">
                  <c:v>2</c:v>
                </c:pt>
                <c:pt idx="1">
                  <c:v>3</c:v>
                </c:pt>
                <c:pt idx="2">
                  <c:v>2</c:v>
                </c:pt>
                <c:pt idx="3">
                  <c:v>1</c:v>
                </c:pt>
                <c:pt idx="4">
                  <c:v>6</c:v>
                </c:pt>
                <c:pt idx="5">
                  <c:v>1</c:v>
                </c:pt>
                <c:pt idx="6">
                  <c:v>6</c:v>
                </c:pt>
              </c:numCache>
            </c:numRef>
          </c:val>
        </c:ser>
        <c:dLbls>
          <c:showLegendKey val="0"/>
          <c:showVal val="0"/>
          <c:showCatName val="0"/>
          <c:showSerName val="0"/>
          <c:showPercent val="0"/>
          <c:showBubbleSize val="0"/>
        </c:dLbls>
        <c:axId val="45803392"/>
        <c:axId val="45804928"/>
      </c:radarChart>
      <c:catAx>
        <c:axId val="45803392"/>
        <c:scaling>
          <c:orientation val="minMax"/>
        </c:scaling>
        <c:delete val="0"/>
        <c:axPos val="b"/>
        <c:majorGridlines/>
        <c:majorTickMark val="out"/>
        <c:minorTickMark val="none"/>
        <c:tickLblPos val="nextTo"/>
        <c:txPr>
          <a:bodyPr/>
          <a:lstStyle/>
          <a:p>
            <a:pPr>
              <a:defRPr sz="1200" baseline="0"/>
            </a:pPr>
            <a:endParaRPr lang="nb-NO"/>
          </a:p>
        </c:txPr>
        <c:crossAx val="45804928"/>
        <c:crosses val="autoZero"/>
        <c:auto val="1"/>
        <c:lblAlgn val="ctr"/>
        <c:lblOffset val="100"/>
        <c:noMultiLvlLbl val="0"/>
      </c:catAx>
      <c:valAx>
        <c:axId val="45804928"/>
        <c:scaling>
          <c:orientation val="minMax"/>
        </c:scaling>
        <c:delete val="0"/>
        <c:axPos val="l"/>
        <c:majorGridlines/>
        <c:numFmt formatCode="General" sourceLinked="1"/>
        <c:majorTickMark val="cross"/>
        <c:minorTickMark val="none"/>
        <c:tickLblPos val="nextTo"/>
        <c:txPr>
          <a:bodyPr/>
          <a:lstStyle/>
          <a:p>
            <a:pPr>
              <a:defRPr sz="900"/>
            </a:pPr>
            <a:endParaRPr lang="nb-NO"/>
          </a:p>
        </c:txPr>
        <c:crossAx val="45803392"/>
        <c:crosses val="autoZero"/>
        <c:crossBetween val="between"/>
        <c:majorUnit val="2"/>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radarChart>
        <c:radarStyle val="marker"/>
        <c:varyColors val="0"/>
        <c:ser>
          <c:idx val="0"/>
          <c:order val="0"/>
          <c:tx>
            <c:v>IME</c:v>
          </c:tx>
          <c:marker>
            <c:symbol val="none"/>
          </c:marker>
          <c:cat>
            <c:strRef>
              <c:f>FakSamarbeid!$M$11:$S$11</c:f>
              <c:strCache>
                <c:ptCount val="7"/>
                <c:pt idx="0">
                  <c:v>VM</c:v>
                </c:pt>
                <c:pt idx="1">
                  <c:v>AB</c:v>
                </c:pt>
                <c:pt idx="2">
                  <c:v>HF</c:v>
                </c:pt>
                <c:pt idx="3">
                  <c:v>IVT</c:v>
                </c:pt>
                <c:pt idx="4">
                  <c:v>DMF</c:v>
                </c:pt>
                <c:pt idx="5">
                  <c:v>NT</c:v>
                </c:pt>
                <c:pt idx="6">
                  <c:v>SVT</c:v>
                </c:pt>
              </c:strCache>
            </c:strRef>
          </c:cat>
          <c:val>
            <c:numRef>
              <c:f>FakSamarbeid!$M$12:$S$12</c:f>
              <c:numCache>
                <c:formatCode>General</c:formatCode>
                <c:ptCount val="7"/>
                <c:pt idx="0">
                  <c:v>1</c:v>
                </c:pt>
                <c:pt idx="1">
                  <c:v>0</c:v>
                </c:pt>
                <c:pt idx="2">
                  <c:v>2</c:v>
                </c:pt>
                <c:pt idx="3">
                  <c:v>90</c:v>
                </c:pt>
                <c:pt idx="4">
                  <c:v>52</c:v>
                </c:pt>
                <c:pt idx="5">
                  <c:v>64</c:v>
                </c:pt>
                <c:pt idx="6">
                  <c:v>18</c:v>
                </c:pt>
              </c:numCache>
            </c:numRef>
          </c:val>
        </c:ser>
        <c:dLbls>
          <c:showLegendKey val="0"/>
          <c:showVal val="0"/>
          <c:showCatName val="0"/>
          <c:showSerName val="0"/>
          <c:showPercent val="0"/>
          <c:showBubbleSize val="0"/>
        </c:dLbls>
        <c:axId val="45956096"/>
        <c:axId val="46002944"/>
      </c:radarChart>
      <c:catAx>
        <c:axId val="45956096"/>
        <c:scaling>
          <c:orientation val="minMax"/>
        </c:scaling>
        <c:delete val="0"/>
        <c:axPos val="b"/>
        <c:majorGridlines/>
        <c:majorTickMark val="out"/>
        <c:minorTickMark val="none"/>
        <c:tickLblPos val="nextTo"/>
        <c:txPr>
          <a:bodyPr/>
          <a:lstStyle/>
          <a:p>
            <a:pPr>
              <a:defRPr sz="1200" baseline="0"/>
            </a:pPr>
            <a:endParaRPr lang="nb-NO"/>
          </a:p>
        </c:txPr>
        <c:crossAx val="46002944"/>
        <c:crosses val="autoZero"/>
        <c:auto val="1"/>
        <c:lblAlgn val="ctr"/>
        <c:lblOffset val="100"/>
        <c:noMultiLvlLbl val="0"/>
      </c:catAx>
      <c:valAx>
        <c:axId val="46002944"/>
        <c:scaling>
          <c:orientation val="minMax"/>
        </c:scaling>
        <c:delete val="0"/>
        <c:axPos val="l"/>
        <c:majorGridlines/>
        <c:numFmt formatCode="General" sourceLinked="1"/>
        <c:majorTickMark val="cross"/>
        <c:minorTickMark val="none"/>
        <c:tickLblPos val="nextTo"/>
        <c:txPr>
          <a:bodyPr/>
          <a:lstStyle/>
          <a:p>
            <a:pPr>
              <a:defRPr sz="900"/>
            </a:pPr>
            <a:endParaRPr lang="nb-NO"/>
          </a:p>
        </c:txPr>
        <c:crossAx val="45956096"/>
        <c:crosses val="autoZero"/>
        <c:crossBetween val="between"/>
        <c:majorUnit val="25"/>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radarChart>
        <c:radarStyle val="marker"/>
        <c:varyColors val="0"/>
        <c:ser>
          <c:idx val="0"/>
          <c:order val="0"/>
          <c:tx>
            <c:v>IVT</c:v>
          </c:tx>
          <c:marker>
            <c:symbol val="none"/>
          </c:marker>
          <c:cat>
            <c:strRef>
              <c:f>FakSamarbeid!$M$14:$S$14</c:f>
              <c:strCache>
                <c:ptCount val="7"/>
                <c:pt idx="0">
                  <c:v>VM</c:v>
                </c:pt>
                <c:pt idx="1">
                  <c:v>AB</c:v>
                </c:pt>
                <c:pt idx="2">
                  <c:v>HF</c:v>
                </c:pt>
                <c:pt idx="3">
                  <c:v>IME</c:v>
                </c:pt>
                <c:pt idx="4">
                  <c:v>DMF</c:v>
                </c:pt>
                <c:pt idx="5">
                  <c:v>NT</c:v>
                </c:pt>
                <c:pt idx="6">
                  <c:v>SVT</c:v>
                </c:pt>
              </c:strCache>
            </c:strRef>
          </c:cat>
          <c:val>
            <c:numRef>
              <c:f>FakSamarbeid!$M$15:$S$15</c:f>
              <c:numCache>
                <c:formatCode>General</c:formatCode>
                <c:ptCount val="7"/>
                <c:pt idx="0">
                  <c:v>1</c:v>
                </c:pt>
                <c:pt idx="1">
                  <c:v>35</c:v>
                </c:pt>
                <c:pt idx="2">
                  <c:v>1</c:v>
                </c:pt>
                <c:pt idx="3">
                  <c:v>90</c:v>
                </c:pt>
                <c:pt idx="4">
                  <c:v>7</c:v>
                </c:pt>
                <c:pt idx="5">
                  <c:v>72</c:v>
                </c:pt>
                <c:pt idx="6">
                  <c:v>26</c:v>
                </c:pt>
              </c:numCache>
            </c:numRef>
          </c:val>
        </c:ser>
        <c:dLbls>
          <c:showLegendKey val="0"/>
          <c:showVal val="0"/>
          <c:showCatName val="0"/>
          <c:showSerName val="0"/>
          <c:showPercent val="0"/>
          <c:showBubbleSize val="0"/>
        </c:dLbls>
        <c:axId val="49725824"/>
        <c:axId val="49727360"/>
      </c:radarChart>
      <c:catAx>
        <c:axId val="49725824"/>
        <c:scaling>
          <c:orientation val="minMax"/>
        </c:scaling>
        <c:delete val="0"/>
        <c:axPos val="b"/>
        <c:majorGridlines/>
        <c:majorTickMark val="out"/>
        <c:minorTickMark val="none"/>
        <c:tickLblPos val="nextTo"/>
        <c:txPr>
          <a:bodyPr/>
          <a:lstStyle/>
          <a:p>
            <a:pPr>
              <a:defRPr sz="1200" baseline="0"/>
            </a:pPr>
            <a:endParaRPr lang="nb-NO"/>
          </a:p>
        </c:txPr>
        <c:crossAx val="49727360"/>
        <c:crosses val="autoZero"/>
        <c:auto val="1"/>
        <c:lblAlgn val="ctr"/>
        <c:lblOffset val="100"/>
        <c:noMultiLvlLbl val="0"/>
      </c:catAx>
      <c:valAx>
        <c:axId val="49727360"/>
        <c:scaling>
          <c:orientation val="minMax"/>
        </c:scaling>
        <c:delete val="0"/>
        <c:axPos val="l"/>
        <c:majorGridlines/>
        <c:numFmt formatCode="General" sourceLinked="1"/>
        <c:majorTickMark val="cross"/>
        <c:minorTickMark val="none"/>
        <c:tickLblPos val="nextTo"/>
        <c:txPr>
          <a:bodyPr/>
          <a:lstStyle/>
          <a:p>
            <a:pPr>
              <a:defRPr sz="900"/>
            </a:pPr>
            <a:endParaRPr lang="nb-NO"/>
          </a:p>
        </c:txPr>
        <c:crossAx val="49725824"/>
        <c:crosses val="autoZero"/>
        <c:crossBetween val="between"/>
        <c:majorUnit val="25"/>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radarChart>
        <c:radarStyle val="marker"/>
        <c:varyColors val="0"/>
        <c:ser>
          <c:idx val="0"/>
          <c:order val="0"/>
          <c:tx>
            <c:v>NT</c:v>
          </c:tx>
          <c:marker>
            <c:symbol val="none"/>
          </c:marker>
          <c:cat>
            <c:strRef>
              <c:f>FakSamarbeid!$M$20:$S$20</c:f>
              <c:strCache>
                <c:ptCount val="7"/>
                <c:pt idx="0">
                  <c:v>VM</c:v>
                </c:pt>
                <c:pt idx="1">
                  <c:v>AB</c:v>
                </c:pt>
                <c:pt idx="2">
                  <c:v>HF</c:v>
                </c:pt>
                <c:pt idx="3">
                  <c:v>IME</c:v>
                </c:pt>
                <c:pt idx="4">
                  <c:v>IVT</c:v>
                </c:pt>
                <c:pt idx="5">
                  <c:v>DMF</c:v>
                </c:pt>
                <c:pt idx="6">
                  <c:v>SVT</c:v>
                </c:pt>
              </c:strCache>
            </c:strRef>
          </c:cat>
          <c:val>
            <c:numRef>
              <c:f>FakSamarbeid!$M$21:$S$21</c:f>
              <c:numCache>
                <c:formatCode>General</c:formatCode>
                <c:ptCount val="7"/>
                <c:pt idx="0">
                  <c:v>13</c:v>
                </c:pt>
                <c:pt idx="1">
                  <c:v>1</c:v>
                </c:pt>
                <c:pt idx="2">
                  <c:v>2</c:v>
                </c:pt>
                <c:pt idx="3">
                  <c:v>64</c:v>
                </c:pt>
                <c:pt idx="4">
                  <c:v>72</c:v>
                </c:pt>
                <c:pt idx="5">
                  <c:v>28</c:v>
                </c:pt>
                <c:pt idx="6">
                  <c:v>3</c:v>
                </c:pt>
              </c:numCache>
            </c:numRef>
          </c:val>
        </c:ser>
        <c:dLbls>
          <c:showLegendKey val="0"/>
          <c:showVal val="0"/>
          <c:showCatName val="0"/>
          <c:showSerName val="0"/>
          <c:showPercent val="0"/>
          <c:showBubbleSize val="0"/>
        </c:dLbls>
        <c:axId val="49735168"/>
        <c:axId val="49736704"/>
      </c:radarChart>
      <c:catAx>
        <c:axId val="49735168"/>
        <c:scaling>
          <c:orientation val="minMax"/>
        </c:scaling>
        <c:delete val="0"/>
        <c:axPos val="b"/>
        <c:majorGridlines/>
        <c:majorTickMark val="out"/>
        <c:minorTickMark val="none"/>
        <c:tickLblPos val="nextTo"/>
        <c:txPr>
          <a:bodyPr/>
          <a:lstStyle/>
          <a:p>
            <a:pPr>
              <a:defRPr sz="1200" baseline="0"/>
            </a:pPr>
            <a:endParaRPr lang="nb-NO"/>
          </a:p>
        </c:txPr>
        <c:crossAx val="49736704"/>
        <c:crosses val="autoZero"/>
        <c:auto val="1"/>
        <c:lblAlgn val="ctr"/>
        <c:lblOffset val="100"/>
        <c:noMultiLvlLbl val="0"/>
      </c:catAx>
      <c:valAx>
        <c:axId val="49736704"/>
        <c:scaling>
          <c:orientation val="minMax"/>
        </c:scaling>
        <c:delete val="0"/>
        <c:axPos val="l"/>
        <c:majorGridlines/>
        <c:numFmt formatCode="General" sourceLinked="1"/>
        <c:majorTickMark val="cross"/>
        <c:minorTickMark val="none"/>
        <c:tickLblPos val="nextTo"/>
        <c:txPr>
          <a:bodyPr/>
          <a:lstStyle/>
          <a:p>
            <a:pPr>
              <a:defRPr sz="900"/>
            </a:pPr>
            <a:endParaRPr lang="nb-NO"/>
          </a:p>
        </c:txPr>
        <c:crossAx val="4973516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radarChart>
        <c:radarStyle val="marker"/>
        <c:varyColors val="0"/>
        <c:ser>
          <c:idx val="0"/>
          <c:order val="0"/>
          <c:tx>
            <c:v>DMF</c:v>
          </c:tx>
          <c:marker>
            <c:symbol val="none"/>
          </c:marker>
          <c:cat>
            <c:strRef>
              <c:f>FakSamarbeid!$M$17:$S$17</c:f>
              <c:strCache>
                <c:ptCount val="7"/>
                <c:pt idx="0">
                  <c:v>VM</c:v>
                </c:pt>
                <c:pt idx="1">
                  <c:v>AB</c:v>
                </c:pt>
                <c:pt idx="2">
                  <c:v>HF</c:v>
                </c:pt>
                <c:pt idx="3">
                  <c:v>IME</c:v>
                </c:pt>
                <c:pt idx="4">
                  <c:v>IVT</c:v>
                </c:pt>
                <c:pt idx="5">
                  <c:v>NT</c:v>
                </c:pt>
                <c:pt idx="6">
                  <c:v>SVT</c:v>
                </c:pt>
              </c:strCache>
            </c:strRef>
          </c:cat>
          <c:val>
            <c:numRef>
              <c:f>FakSamarbeid!$M$18:$S$18</c:f>
              <c:numCache>
                <c:formatCode>General</c:formatCode>
                <c:ptCount val="7"/>
                <c:pt idx="0">
                  <c:v>0</c:v>
                </c:pt>
                <c:pt idx="1">
                  <c:v>0</c:v>
                </c:pt>
                <c:pt idx="2">
                  <c:v>6</c:v>
                </c:pt>
                <c:pt idx="3">
                  <c:v>52</c:v>
                </c:pt>
                <c:pt idx="4">
                  <c:v>7</c:v>
                </c:pt>
                <c:pt idx="5">
                  <c:v>28</c:v>
                </c:pt>
                <c:pt idx="6">
                  <c:v>106</c:v>
                </c:pt>
              </c:numCache>
            </c:numRef>
          </c:val>
        </c:ser>
        <c:dLbls>
          <c:showLegendKey val="0"/>
          <c:showVal val="0"/>
          <c:showCatName val="0"/>
          <c:showSerName val="0"/>
          <c:showPercent val="0"/>
          <c:showBubbleSize val="0"/>
        </c:dLbls>
        <c:axId val="49748608"/>
        <c:axId val="49754496"/>
      </c:radarChart>
      <c:catAx>
        <c:axId val="49748608"/>
        <c:scaling>
          <c:orientation val="minMax"/>
        </c:scaling>
        <c:delete val="0"/>
        <c:axPos val="b"/>
        <c:majorGridlines/>
        <c:majorTickMark val="out"/>
        <c:minorTickMark val="none"/>
        <c:tickLblPos val="nextTo"/>
        <c:txPr>
          <a:bodyPr/>
          <a:lstStyle/>
          <a:p>
            <a:pPr>
              <a:defRPr sz="1200" baseline="0"/>
            </a:pPr>
            <a:endParaRPr lang="nb-NO"/>
          </a:p>
        </c:txPr>
        <c:crossAx val="49754496"/>
        <c:crosses val="autoZero"/>
        <c:auto val="1"/>
        <c:lblAlgn val="ctr"/>
        <c:lblOffset val="100"/>
        <c:noMultiLvlLbl val="0"/>
      </c:catAx>
      <c:valAx>
        <c:axId val="49754496"/>
        <c:scaling>
          <c:orientation val="minMax"/>
        </c:scaling>
        <c:delete val="0"/>
        <c:axPos val="l"/>
        <c:majorGridlines/>
        <c:numFmt formatCode="General" sourceLinked="1"/>
        <c:majorTickMark val="cross"/>
        <c:minorTickMark val="none"/>
        <c:tickLblPos val="nextTo"/>
        <c:txPr>
          <a:bodyPr/>
          <a:lstStyle/>
          <a:p>
            <a:pPr>
              <a:defRPr sz="900"/>
            </a:pPr>
            <a:endParaRPr lang="nb-NO"/>
          </a:p>
        </c:txPr>
        <c:crossAx val="49748608"/>
        <c:crosses val="autoZero"/>
        <c:crossBetween val="between"/>
        <c:majorUnit val="30"/>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radarChart>
        <c:radarStyle val="marker"/>
        <c:varyColors val="0"/>
        <c:ser>
          <c:idx val="0"/>
          <c:order val="0"/>
          <c:tx>
            <c:v>SVT</c:v>
          </c:tx>
          <c:marker>
            <c:symbol val="none"/>
          </c:marker>
          <c:cat>
            <c:strRef>
              <c:f>FakSamarbeid!$M$23:$S$23</c:f>
              <c:strCache>
                <c:ptCount val="7"/>
                <c:pt idx="0">
                  <c:v>VM</c:v>
                </c:pt>
                <c:pt idx="1">
                  <c:v>AB</c:v>
                </c:pt>
                <c:pt idx="2">
                  <c:v>HF</c:v>
                </c:pt>
                <c:pt idx="3">
                  <c:v>IME</c:v>
                </c:pt>
                <c:pt idx="4">
                  <c:v>IVT</c:v>
                </c:pt>
                <c:pt idx="5">
                  <c:v>DMF</c:v>
                </c:pt>
                <c:pt idx="6">
                  <c:v>NT</c:v>
                </c:pt>
              </c:strCache>
            </c:strRef>
          </c:cat>
          <c:val>
            <c:numRef>
              <c:f>FakSamarbeid!$M$24:$S$24</c:f>
              <c:numCache>
                <c:formatCode>General</c:formatCode>
                <c:ptCount val="7"/>
                <c:pt idx="0">
                  <c:v>1</c:v>
                </c:pt>
                <c:pt idx="1">
                  <c:v>2</c:v>
                </c:pt>
                <c:pt idx="2">
                  <c:v>6</c:v>
                </c:pt>
                <c:pt idx="3">
                  <c:v>18</c:v>
                </c:pt>
                <c:pt idx="4">
                  <c:v>26</c:v>
                </c:pt>
                <c:pt idx="5">
                  <c:v>106</c:v>
                </c:pt>
                <c:pt idx="6">
                  <c:v>3</c:v>
                </c:pt>
              </c:numCache>
            </c:numRef>
          </c:val>
        </c:ser>
        <c:dLbls>
          <c:showLegendKey val="0"/>
          <c:showVal val="0"/>
          <c:showCatName val="0"/>
          <c:showSerName val="0"/>
          <c:showPercent val="0"/>
          <c:showBubbleSize val="0"/>
        </c:dLbls>
        <c:axId val="49795072"/>
        <c:axId val="49796608"/>
      </c:radarChart>
      <c:catAx>
        <c:axId val="49795072"/>
        <c:scaling>
          <c:orientation val="minMax"/>
        </c:scaling>
        <c:delete val="0"/>
        <c:axPos val="b"/>
        <c:majorGridlines/>
        <c:majorTickMark val="out"/>
        <c:minorTickMark val="none"/>
        <c:tickLblPos val="nextTo"/>
        <c:txPr>
          <a:bodyPr/>
          <a:lstStyle/>
          <a:p>
            <a:pPr>
              <a:defRPr sz="1200" baseline="0"/>
            </a:pPr>
            <a:endParaRPr lang="nb-NO"/>
          </a:p>
        </c:txPr>
        <c:crossAx val="49796608"/>
        <c:crosses val="autoZero"/>
        <c:auto val="1"/>
        <c:lblAlgn val="ctr"/>
        <c:lblOffset val="100"/>
        <c:noMultiLvlLbl val="0"/>
      </c:catAx>
      <c:valAx>
        <c:axId val="49796608"/>
        <c:scaling>
          <c:orientation val="minMax"/>
        </c:scaling>
        <c:delete val="0"/>
        <c:axPos val="l"/>
        <c:majorGridlines/>
        <c:numFmt formatCode="General" sourceLinked="1"/>
        <c:majorTickMark val="cross"/>
        <c:minorTickMark val="none"/>
        <c:tickLblPos val="nextTo"/>
        <c:txPr>
          <a:bodyPr/>
          <a:lstStyle/>
          <a:p>
            <a:pPr>
              <a:defRPr sz="900"/>
            </a:pPr>
            <a:endParaRPr lang="nb-NO"/>
          </a:p>
        </c:txPr>
        <c:crossAx val="497950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E27905F6FC84B901A5DFDD3B1CC51" ma:contentTypeVersion="0" ma:contentTypeDescription="Create a new document." ma:contentTypeScope="" ma:versionID="7b6982d264de3d2991dd26c41e0d25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2614B-05DA-402D-9C20-AC818A78969C}"/>
</file>

<file path=customXml/itemProps2.xml><?xml version="1.0" encoding="utf-8"?>
<ds:datastoreItem xmlns:ds="http://schemas.openxmlformats.org/officeDocument/2006/customXml" ds:itemID="{44DCF224-8F7F-410E-B841-42019C9466FE}"/>
</file>

<file path=customXml/itemProps3.xml><?xml version="1.0" encoding="utf-8"?>
<ds:datastoreItem xmlns:ds="http://schemas.openxmlformats.org/officeDocument/2006/customXml" ds:itemID="{7E487A9A-B57E-492A-8EDF-D5193F347B16}"/>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1667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 Bjørn Arlov</dc:creator>
  <cp:lastModifiedBy>Tone Merethe Aasen</cp:lastModifiedBy>
  <cp:revision>2</cp:revision>
  <dcterms:created xsi:type="dcterms:W3CDTF">2013-08-05T10:26:00Z</dcterms:created>
  <dcterms:modified xsi:type="dcterms:W3CDTF">2013-08-05T10:26:00Z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0x010100FE1E27905F6FC84B901A5DFDD3B1CC51</vt:lpwstr>
  </property>
</Properties>
</file>